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26D9" w14:textId="522EF37D" w:rsidR="00E17CC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PARA ELABORAÇÃO E FORMATAÇÃO DE </w:t>
      </w:r>
      <w:r w:rsidR="004C5CB2">
        <w:rPr>
          <w:rFonts w:ascii="Times New Roman" w:eastAsia="Times New Roman" w:hAnsi="Times New Roman" w:cs="Times New Roman"/>
          <w:b/>
          <w:sz w:val="24"/>
          <w:szCs w:val="24"/>
        </w:rPr>
        <w:t>ARTIGO PARA REVISTA EPISTIMONIKI</w:t>
      </w:r>
    </w:p>
    <w:p w14:paraId="1F732AAC" w14:textId="77777777" w:rsidR="00B10F34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A escrita do título deve ser toda em maiúscula. </w:t>
      </w:r>
    </w:p>
    <w:p w14:paraId="77965259" w14:textId="37731371" w:rsidR="004C5CB2" w:rsidRPr="004C5CB2" w:rsidRDefault="004C5CB2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CB2">
        <w:rPr>
          <w:rFonts w:ascii="Times New Roman" w:eastAsia="Times New Roman" w:hAnsi="Times New Roman" w:cs="Times New Roman"/>
          <w:b/>
          <w:sz w:val="24"/>
          <w:szCs w:val="24"/>
        </w:rPr>
        <w:t>MODEL FOR THE PREPARATION AND FORMATTING OF ARTICLES FOR EPISTIMONIKI JOURNAL</w:t>
      </w:r>
    </w:p>
    <w:p w14:paraId="4C632D8A" w14:textId="77777777" w:rsidR="00B10F34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34F4AAA7" w14:textId="77777777" w:rsidR="00B10F34" w:rsidRPr="0060696B" w:rsidRDefault="00B10F34" w:rsidP="00B10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60696B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IMPORTANTE: ESSE DOCUMENTO DEVERÁ SER SUBMETIDO EM FORMATO WORD.</w:t>
      </w:r>
    </w:p>
    <w:p w14:paraId="5CCC52E1" w14:textId="77777777" w:rsidR="00E17CCE" w:rsidRDefault="00E17CCE" w:rsidP="0005080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6DA97" w14:textId="3CD3E0A9" w:rsidR="002358D3" w:rsidRPr="002358D3" w:rsidRDefault="002358D3" w:rsidP="0023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color w:val="EE0000"/>
          <w:sz w:val="24"/>
          <w:szCs w:val="24"/>
          <w:highlight w:val="yellow"/>
        </w:rPr>
        <w:t>NÃO DEVE SER INSERIDO O NOME DOS AUTORES NESSE DOCUMENTO. INSIRA O NOME DOS AUTORES NA CARTA DE AUTORIA DO ARTIGO.</w:t>
      </w:r>
    </w:p>
    <w:p w14:paraId="66C6DED4" w14:textId="77777777" w:rsidR="002358D3" w:rsidRDefault="002358D3" w:rsidP="00050808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C2BCE" w14:textId="5E7257B8" w:rsidR="00B10F34" w:rsidRPr="00CE01E3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O presente documento apresenta as orientações para a elaboração e submissão de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artigos</w:t>
      </w:r>
      <w:r w:rsid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na </w:t>
      </w:r>
      <w:r w:rsidR="00561F2E" w:rsidRPr="00561F2E">
        <w:rPr>
          <w:rFonts w:ascii="Times New Roman" w:eastAsia="Times New Roman" w:hAnsi="Times New Roman" w:cs="Times New Roman"/>
          <w:b/>
          <w:sz w:val="20"/>
          <w:szCs w:val="20"/>
        </w:rPr>
        <w:t>Revista de Educação, Práticas Interdisciplinares e Inovação Científica (EPISTIMONIKI)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. O resumo inicial, inserido antes do conteúdo expandido, não deve ultrapassar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150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palavras e deve sintetizar de forma clara e objetiva os principais aspectos do trabalho. Ele deve incluir uma breve introdução (uma frase), com a apresentação do objetivo do estudo, descrição sucinta do material utilizado, métodos sistematizados de forma concisa, além dos principais resultados, discussão breve e conclusão alcançada. 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artigo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deve conter entre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10 (dez)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 e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15 (quinze)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páginas, devendo obrigatoriamente seguir o formato do presente </w:t>
      </w:r>
      <w:proofErr w:type="spellStart"/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, sem alterações em sua estrutura ou formatação. Após o resumo, devem ser incluídas as palavras-chave, dispostas em parágrafo único, contendo entre 3 (três) e 5 (cinco) palavras, separadas por ponto-e-vírgula. A primeira letra de cada palavra deve ser maiúscula, e a última palavra deve ser finalizada por ponto, conforme o exemplo abaixo. É fundamental respeitar as normas e diretrizes aqui descritas para assegurar a padronização e qualidade do material a ser publicado nos anais do evento.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artigo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deve ser submetido em word.  </w:t>
      </w:r>
    </w:p>
    <w:p w14:paraId="532947CA" w14:textId="77777777" w:rsidR="00B10F34" w:rsidRPr="00CE01E3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B3F4EF" w14:textId="6CAA3A88" w:rsidR="00B10F34" w:rsidRDefault="00B10F34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E01E3">
        <w:rPr>
          <w:rFonts w:ascii="Times New Roman" w:eastAsia="Times New Roman" w:hAnsi="Times New Roman" w:cs="Times New Roman"/>
          <w:b/>
          <w:sz w:val="20"/>
          <w:szCs w:val="20"/>
        </w:rPr>
        <w:t xml:space="preserve">Palavras-chave: </w:t>
      </w:r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 xml:space="preserve">Resumo; Normas; Educação; </w:t>
      </w:r>
      <w:proofErr w:type="spellStart"/>
      <w:r w:rsidR="002358D3">
        <w:rPr>
          <w:rFonts w:ascii="Times New Roman" w:eastAsia="Times New Roman" w:hAnsi="Times New Roman" w:cs="Times New Roman"/>
          <w:bCs/>
          <w:sz w:val="20"/>
          <w:szCs w:val="20"/>
        </w:rPr>
        <w:t>Epistimoniki</w:t>
      </w:r>
      <w:proofErr w:type="spellEnd"/>
      <w:r w:rsidRPr="00CE01E3">
        <w:rPr>
          <w:rFonts w:ascii="Times New Roman" w:eastAsia="Times New Roman" w:hAnsi="Times New Roman" w:cs="Times New Roman"/>
          <w:bCs/>
          <w:sz w:val="20"/>
          <w:szCs w:val="20"/>
        </w:rPr>
        <w:t>; Interdisciplinaridade.</w:t>
      </w:r>
    </w:p>
    <w:p w14:paraId="1C6853D7" w14:textId="77777777" w:rsidR="00561F2E" w:rsidRDefault="00561F2E" w:rsidP="00B10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C0A9856" w14:textId="77777777" w:rsidR="00561F2E" w:rsidRPr="00561F2E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1F2E">
        <w:rPr>
          <w:rFonts w:ascii="Times New Roman" w:eastAsia="Times New Roman" w:hAnsi="Times New Roman" w:cs="Times New Roman"/>
          <w:b/>
          <w:sz w:val="20"/>
          <w:szCs w:val="20"/>
        </w:rPr>
        <w:t>ABSTRACT:</w:t>
      </w:r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document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provides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guidelines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for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preparation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submission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Journal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Education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Interdisciplinary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Practices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Scientific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Innovation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(EPISTIMONIKI).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initial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included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before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expanded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content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not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exceed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150 words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clearly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objectively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summarize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aspects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work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must include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brief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introduction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sentence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presenting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study's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objective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concise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description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materials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used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systematically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outlined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methods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well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main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results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brief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discussion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conclusion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reached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between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10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15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fifteen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pages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length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strictly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follow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template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without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changes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its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structure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formatting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After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keywords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included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a single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paragraph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containing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3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three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5 (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five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) words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separated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semicolons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Each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should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begin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 capital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letter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last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word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with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period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, as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demonstrated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example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below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It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essential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adhere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standards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guidelines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described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herein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ensure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standardization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and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quality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of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material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to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published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the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event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proceedings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. The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article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must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be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submitted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in Word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format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1D82F65B" w14:textId="77777777" w:rsidR="00561F2E" w:rsidRPr="00561F2E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707DE78" w14:textId="19FE28B3" w:rsidR="00561F2E" w:rsidRPr="00CE01E3" w:rsidRDefault="00561F2E" w:rsidP="00561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61F2E">
        <w:rPr>
          <w:rFonts w:ascii="Times New Roman" w:eastAsia="Times New Roman" w:hAnsi="Times New Roman" w:cs="Times New Roman"/>
          <w:b/>
          <w:sz w:val="20"/>
          <w:szCs w:val="20"/>
        </w:rPr>
        <w:t>Keywords:</w:t>
      </w:r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 Abstract; Standards;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Education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="002358D3">
        <w:rPr>
          <w:rFonts w:ascii="Times New Roman" w:eastAsia="Times New Roman" w:hAnsi="Times New Roman" w:cs="Times New Roman"/>
          <w:bCs/>
          <w:sz w:val="20"/>
          <w:szCs w:val="20"/>
        </w:rPr>
        <w:t>Epistimoniki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proofErr w:type="spellStart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Interdisciplinarity</w:t>
      </w:r>
      <w:proofErr w:type="spellEnd"/>
      <w:r w:rsidRPr="00561F2E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58A92116" w14:textId="77777777" w:rsidR="005A6E74" w:rsidRDefault="005A6E74" w:rsidP="00235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6CAE3" w14:textId="77777777" w:rsidR="002358D3" w:rsidRPr="002358D3" w:rsidRDefault="002358D3" w:rsidP="002358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</w:p>
    <w:p w14:paraId="15D210F4" w14:textId="625A9960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Os artigos submetidos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EPISTIMONIKI: Revista de Educação, Práticas Interdisciplinares e Inovação Científica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devem seguir, de forma rigorosa e integral, o modelo de formatação disponibilizado pela organização. O atendimento a todas as diretrizes editoriais é condição indispensável para a validação da submissão, avaliação pelos pareceristas e posterior publicação nos anais ou coletâneas do evento. O artigo completo deverá conter entre 10 e 15 páginas, incluindo obrigatoriamente as referências. O formato da página deve ser A4, com margens conforme especificado no </w:t>
      </w:r>
      <w:proofErr w:type="spellStart"/>
      <w:r w:rsidRPr="002358D3"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oficial, e todas as páginas devem ser numeradas no canto inferior direito.</w:t>
      </w:r>
    </w:p>
    <w:p w14:paraId="36E113BE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lastRenderedPageBreak/>
        <w:t>O texto deve ser redigido em fonte Times New Roman, tamanho 12, com alinhamento justificado em todo o corpo do texto. O título do artigo deve ser apresentado de forma clara e objetiva, centralizado, em negrito, com letras maiúsculas, tamanho 12, não podendo ultrapassar 16 palavras, de modo a assegurar concisão e aderência aos padrões editoriais.</w:t>
      </w:r>
    </w:p>
    <w:p w14:paraId="73BF3537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>Os nomes dos(as) autores(as) devem ser informados logo abaixo do título, respeitando a ordem de contribuição intelectual, organizados um abaixo do outro, alinhados à direita, e identificados por números sobrescritos (¹, ², ³), os quais devem remeter às respectivas notas de rodapé. Cada nome deve ser apresentado por extenso, com a primeira letra de cada nome em maiúscula. As notas de rodapé devem conter, obrigatoriamente, informações claras e padronizadas sobre a titulação ou vínculo acadêmico atual, o curso ou programa ao qual o(a) autor(a) está vinculado(a), o vínculo institucional ou área de atuação, um e-mail de contato acadêmico e o identificador ORCID, assegurando transparência, rastreabilidade e padronização científica.</w:t>
      </w:r>
    </w:p>
    <w:p w14:paraId="09696CFB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A redação do artigo deve observar rigorosamente as normas da língua portuguesa, apresentando correção gramatical, coesão, coerência e precisão conceitual. Recomenda-se a utilização da terceira pessoa ou de estratégias de </w:t>
      </w:r>
      <w:proofErr w:type="spellStart"/>
      <w:r w:rsidRPr="002358D3">
        <w:rPr>
          <w:rFonts w:ascii="Times New Roman" w:eastAsia="Times New Roman" w:hAnsi="Times New Roman" w:cs="Times New Roman"/>
          <w:sz w:val="24"/>
          <w:szCs w:val="24"/>
        </w:rPr>
        <w:t>impessoalização</w:t>
      </w:r>
      <w:proofErr w:type="spellEnd"/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textual, de modo a preservar o caráter formal e acadêmico do trabalho.</w:t>
      </w:r>
    </w:p>
    <w:p w14:paraId="2C867F2C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>Na seção de introdução, é imprescindível apresentar o tema do artigo de forma contextualizada, delimitar claramente a problemática investigada e explicitar os objetivos gerais e específicos do estudo. Essa seção deve estabelecer uma conexão lógica com o restante do texto, situando o leitor quanto à relevância, ao recorte analítico e à estrutura do trabalho.</w:t>
      </w:r>
    </w:p>
    <w:p w14:paraId="3EC99858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Por fim, reforça-se que somente serão aceitos trabalhos que estejam estritamente formatados de acordo com o modelo disponibilizado pelo evento. Artigos em desacordo com o padrão estabelecido serão automaticamente desconsiderados no processo de avaliação. Em caso de dúvidas, recomenda-se a consulta prévia ao </w:t>
      </w:r>
      <w:proofErr w:type="spellStart"/>
      <w:r w:rsidRPr="002358D3">
        <w:rPr>
          <w:rFonts w:ascii="Times New Roman" w:eastAsia="Times New Roman" w:hAnsi="Times New Roman" w:cs="Times New Roman"/>
          <w:sz w:val="24"/>
          <w:szCs w:val="24"/>
        </w:rPr>
        <w:t>template</w:t>
      </w:r>
      <w:proofErr w:type="spellEnd"/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oficial ou o contato direto com a comissão organizadora. O artigo deverá ser submetido exclusivamente em formato Word (.</w:t>
      </w:r>
      <w:proofErr w:type="spellStart"/>
      <w:r w:rsidRPr="002358D3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ou .</w:t>
      </w:r>
      <w:proofErr w:type="spellStart"/>
      <w:r w:rsidRPr="002358D3"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 w:rsidRPr="002358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A7955CB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B927AB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E6F987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82357F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11995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08C41A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61580D" w14:textId="77777777" w:rsidR="002358D3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D3D34F" w14:textId="7D681113" w:rsidR="001A40D7" w:rsidRDefault="002358D3" w:rsidP="001A40D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0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Imagem 1 </w:t>
      </w:r>
      <w:r w:rsidR="001A40D7" w:rsidRPr="001A40D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Logo Revista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Epistimoniki</w:t>
      </w:r>
      <w:proofErr w:type="spellEnd"/>
    </w:p>
    <w:p w14:paraId="39C90A80" w14:textId="30FBE1BC" w:rsidR="001A40D7" w:rsidRPr="001A40D7" w:rsidRDefault="002358D3" w:rsidP="0023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0FA910" wp14:editId="170B5CB9">
            <wp:extent cx="5760085" cy="5760085"/>
            <wp:effectExtent l="0" t="0" r="0" b="0"/>
            <wp:docPr id="1461928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28725" name="Imagem 14619287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877D" w14:textId="6B83D0F1" w:rsidR="001A40D7" w:rsidRDefault="001A40D7" w:rsidP="001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40D7">
        <w:rPr>
          <w:rFonts w:ascii="Times New Roman" w:eastAsia="Times New Roman" w:hAnsi="Times New Roman" w:cs="Times New Roman"/>
          <w:b/>
          <w:bCs/>
          <w:sz w:val="20"/>
          <w:szCs w:val="20"/>
        </w:rPr>
        <w:t>Fonte:</w:t>
      </w:r>
      <w:r w:rsidRPr="001A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358D3">
        <w:rPr>
          <w:rFonts w:ascii="Times New Roman" w:eastAsia="Times New Roman" w:hAnsi="Times New Roman" w:cs="Times New Roman"/>
          <w:sz w:val="20"/>
          <w:szCs w:val="20"/>
        </w:rPr>
        <w:t xml:space="preserve">Luminária Acadêmica (2026). </w:t>
      </w:r>
    </w:p>
    <w:p w14:paraId="2D111592" w14:textId="77777777" w:rsidR="002358D3" w:rsidRPr="001A40D7" w:rsidRDefault="002358D3" w:rsidP="001A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077A36F" w14:textId="77777777" w:rsidR="002358D3" w:rsidRPr="002358D3" w:rsidRDefault="002358D3" w:rsidP="002358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CITAÇÕES E REFERÊNCIAS</w:t>
      </w:r>
    </w:p>
    <w:p w14:paraId="38C5D721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>Os textos submetidos devem ser previamente revisados quanto aos aspectos gramaticais, ortográficos e estilísticos, observando rigorosamente as normas vigentes da língua portuguesa e as diretrizes estabelecidas pela Associação Brasileira de Normas Técnicas (ABNT). O uso adequado de citações e referências é condição essencial para assegurar a qualidade acadêmica, a integridade intelectual e a credibilidade científica do trabalho.</w:t>
      </w:r>
    </w:p>
    <w:p w14:paraId="18DAE5EE" w14:textId="77777777" w:rsidR="002358D3" w:rsidRPr="002358D3" w:rsidRDefault="002358D3" w:rsidP="002358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>As citações no corpo do texto devem seguir o sistema autor-data, conforme os padrões abaixo:</w:t>
      </w:r>
    </w:p>
    <w:p w14:paraId="20B3A63E" w14:textId="77777777" w:rsidR="002358D3" w:rsidRPr="002358D3" w:rsidRDefault="002358D3" w:rsidP="002358D3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Citação de um único autor: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  <w:t xml:space="preserve">Deve conter o sobrenome do autor com a primeira letra em maiúscula, seguido do ano 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lastRenderedPageBreak/>
        <w:t>da publicação e, quando se tratar de citação direta, da página correspondente.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</w:r>
      <w:r w:rsidRPr="002358D3">
        <w:rPr>
          <w:rFonts w:ascii="Times New Roman" w:eastAsia="Times New Roman" w:hAnsi="Times New Roman" w:cs="Times New Roman"/>
          <w:i/>
          <w:iCs/>
          <w:sz w:val="24"/>
          <w:szCs w:val="24"/>
        </w:rPr>
        <w:t>Exemplo: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(Marx, 2011, p. 45).</w:t>
      </w:r>
    </w:p>
    <w:p w14:paraId="26FD56A4" w14:textId="77777777" w:rsidR="002358D3" w:rsidRPr="002358D3" w:rsidRDefault="002358D3" w:rsidP="002358D3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Citação de dois autores: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  <w:t>Os sobrenomes devem ser separados por ponto e vírgula, seguidos do ano da obra.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</w:r>
      <w:r w:rsidRPr="002358D3">
        <w:rPr>
          <w:rFonts w:ascii="Times New Roman" w:eastAsia="Times New Roman" w:hAnsi="Times New Roman" w:cs="Times New Roman"/>
          <w:i/>
          <w:iCs/>
          <w:sz w:val="24"/>
          <w:szCs w:val="24"/>
        </w:rPr>
        <w:t>Exemplo: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(Durkheim; Weber, 2007).</w:t>
      </w:r>
    </w:p>
    <w:p w14:paraId="5FF19B4E" w14:textId="77777777" w:rsidR="002358D3" w:rsidRPr="002358D3" w:rsidRDefault="002358D3" w:rsidP="002358D3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Citação de três ou mais autores: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  <w:t xml:space="preserve">Indicar o sobrenome do primeiro autor seguido de </w:t>
      </w:r>
      <w:r w:rsidRPr="002358D3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>, em itálico, e do ano da publicação.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br/>
      </w:r>
      <w:r w:rsidRPr="002358D3">
        <w:rPr>
          <w:rFonts w:ascii="Times New Roman" w:eastAsia="Times New Roman" w:hAnsi="Times New Roman" w:cs="Times New Roman"/>
          <w:i/>
          <w:iCs/>
          <w:sz w:val="24"/>
          <w:szCs w:val="24"/>
        </w:rPr>
        <w:t>Exemplo: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 (Bourdieu </w:t>
      </w:r>
      <w:r w:rsidRPr="002358D3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>, 1998).</w:t>
      </w:r>
    </w:p>
    <w:p w14:paraId="52DFF559" w14:textId="77777777" w:rsidR="002358D3" w:rsidRPr="002358D3" w:rsidRDefault="002358D3" w:rsidP="002358D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sz w:val="24"/>
          <w:szCs w:val="24"/>
        </w:rPr>
        <w:t xml:space="preserve">Todas as obras citadas ao longo do texto devem, obrigatoriamente, constar na seção </w:t>
      </w:r>
      <w:r w:rsidRPr="002358D3"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  <w:r w:rsidRPr="002358D3">
        <w:rPr>
          <w:rFonts w:ascii="Times New Roman" w:eastAsia="Times New Roman" w:hAnsi="Times New Roman" w:cs="Times New Roman"/>
          <w:sz w:val="24"/>
          <w:szCs w:val="24"/>
        </w:rPr>
        <w:t>, elaborada de acordo com as normas da ABNT. Não serão aceitos trabalhos que apresentem inconsistências entre as citações no corpo do texto e a lista de referências finais. O cumprimento rigoroso dessas orientações é indispensável para a avaliação, a aceitação e a publicação do trabalho no evento.</w:t>
      </w:r>
    </w:p>
    <w:p w14:paraId="6054C9CC" w14:textId="77777777" w:rsidR="00E17CCE" w:rsidRDefault="00E17CCE" w:rsidP="001A40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693F6" w14:textId="77777777" w:rsidR="002358D3" w:rsidRPr="002358D3" w:rsidRDefault="002358D3" w:rsidP="00B22E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RESULTADOS E DISCUSSÃO</w:t>
      </w:r>
    </w:p>
    <w:p w14:paraId="30B711D8" w14:textId="77777777" w:rsidR="002358D3" w:rsidRPr="002358D3" w:rsidRDefault="002358D3" w:rsidP="002358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O subtítulo </w:t>
      </w:r>
      <w:r w:rsidRPr="002358D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“Resultados e Discussão”</w:t>
      </w:r>
      <w:r w:rsidRPr="002358D3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 poderá ser adaptado conforme as especificidades do trabalho, desde que respeite as orientações gerais estabelecidas. O(a) autor(a) poderá incluir subtítulos adicionais sempre que necessário, com o objetivo de organizar o conteúdo de forma clara, lógica e coesa.</w:t>
      </w:r>
    </w:p>
    <w:p w14:paraId="7A345E43" w14:textId="77777777" w:rsidR="002358D3" w:rsidRPr="002358D3" w:rsidRDefault="002358D3" w:rsidP="002358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Nesta seção, devem ser apresentados os resultados obtidos a partir da pesquisa de maneira sistematizada, destacando os dados, achados ou evidências mais relevantes e sua relação direta com os objetivos propostos. Contudo, a seção não deve se limitar à simples exposição dos resultados: é fundamental que eles sejam </w:t>
      </w:r>
      <w:r w:rsidRPr="002358D3">
        <w:rPr>
          <w:rFonts w:ascii="Times New Roman" w:eastAsia="Times New Roman" w:hAnsi="Times New Roman" w:cs="Times New Roman"/>
          <w:color w:val="111111"/>
          <w:sz w:val="24"/>
          <w:szCs w:val="24"/>
        </w:rPr>
        <w:t>analisados, discutidos e problematizados</w:t>
      </w: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, considerando suas implicações teóricas, práticas e sociais, bem como seus limites interpretativos.</w:t>
      </w:r>
    </w:p>
    <w:p w14:paraId="46112587" w14:textId="77777777" w:rsidR="002358D3" w:rsidRPr="002358D3" w:rsidRDefault="002358D3" w:rsidP="002358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A discussão deve estabelecer diálogo consistente com a literatura acadêmica, especialmente com autores e estudos de referência no campo, evidenciando convergências, divergências e possíveis contribuições do trabalho para o avanço do conhecimento. Os resultados devem ser contextualizados em um panorama mais amplo, permitindo avaliar seu impacto e sua relevância para o tema investigado.</w:t>
      </w:r>
    </w:p>
    <w:p w14:paraId="1AD9892E" w14:textId="77777777" w:rsidR="002358D3" w:rsidRPr="002358D3" w:rsidRDefault="002358D3" w:rsidP="002358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Quando os resultados não forem conclusivos ou apresentarem limitações metodológicas, empíricas ou analíticas, tais aspectos devem ser explicitados de forma crítica e reflexiva, apontando possibilidades de aprofundamento, redirecionamento ou ampliação em </w:t>
      </w: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lastRenderedPageBreak/>
        <w:t xml:space="preserve">pesquisas futuras. O objetivo central desta seção é permitir que o leitor compreenda não apenas </w:t>
      </w:r>
      <w:r w:rsidRPr="002358D3">
        <w:rPr>
          <w:rFonts w:ascii="Times New Roman" w:eastAsia="Times New Roman" w:hAnsi="Times New Roman" w:cs="Times New Roman"/>
          <w:color w:val="111111"/>
          <w:sz w:val="24"/>
          <w:szCs w:val="24"/>
        </w:rPr>
        <w:t>o que foi encontrado, mas o que esses resultados significam</w:t>
      </w: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no contexto acadêmico e social.</w:t>
      </w:r>
    </w:p>
    <w:p w14:paraId="26707B16" w14:textId="77777777" w:rsidR="002358D3" w:rsidRPr="002358D3" w:rsidRDefault="002358D3" w:rsidP="002358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 w:rsidRPr="002358D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Gráficos, tabelas, quadros ou outras formas de ilustração devem ser devidamente numerados, legendados e explicados no corpo do texto, de modo que sua relevância e contribuição para a análise fiquem claras. Recomenda-se manter equilíbrio entre a apresentação dos dados e a discussão analítica, evitando descrições extensas sem interpretação crítica. Uma escrita objetiva, articulada e bem estruturada é essencial para garantir a qualidade desta seção.</w:t>
      </w:r>
    </w:p>
    <w:p w14:paraId="4E068FBA" w14:textId="77777777" w:rsidR="002358D3" w:rsidRPr="002358D3" w:rsidRDefault="002358D3" w:rsidP="001A40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14:paraId="2FCE7B37" w14:textId="77777777" w:rsidR="00E17CC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14:paraId="5835FCC7" w14:textId="77777777" w:rsidR="00B22EA5" w:rsidRPr="00B22EA5" w:rsidRDefault="00B22EA5" w:rsidP="00B22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EA5">
        <w:rPr>
          <w:rFonts w:ascii="Times New Roman" w:eastAsia="Times New Roman" w:hAnsi="Times New Roman" w:cs="Times New Roman"/>
          <w:sz w:val="24"/>
          <w:szCs w:val="24"/>
        </w:rPr>
        <w:t>As Considerações Finais devem apresentar uma síntese articulada das principais conclusões do trabalho, retomando os objetivos propostos e evidenciando como os resultados obtidos contribuíram para respondê-los. Cada conclusão deve ser apresentada em parágrafo distinto, sem espaçamento em branco entre os parágrafos, conforme as orientações editoriais.</w:t>
      </w:r>
    </w:p>
    <w:p w14:paraId="2A2F5608" w14:textId="77777777" w:rsidR="00B22EA5" w:rsidRPr="00B22EA5" w:rsidRDefault="00B22EA5" w:rsidP="00B22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EA5">
        <w:rPr>
          <w:rFonts w:ascii="Times New Roman" w:eastAsia="Times New Roman" w:hAnsi="Times New Roman" w:cs="Times New Roman"/>
          <w:sz w:val="24"/>
          <w:szCs w:val="24"/>
        </w:rPr>
        <w:t>Nesta seção, é fundamental destacar as contribuições do estudo para o campo de conhecimento em que se insere, explicitando suas implicações teóricas, práticas e/ou sociais. Sempre que pertinente, devem ser indicados os limites da pesquisa e sugeridos caminhos para investigações futuras, de modo a ampliar, aprofundar ou problematizar o tema abordado.</w:t>
      </w:r>
    </w:p>
    <w:p w14:paraId="75042E6B" w14:textId="77777777" w:rsidR="00B22EA5" w:rsidRPr="00B22EA5" w:rsidRDefault="00B22EA5" w:rsidP="00B22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EA5">
        <w:rPr>
          <w:rFonts w:ascii="Times New Roman" w:eastAsia="Times New Roman" w:hAnsi="Times New Roman" w:cs="Times New Roman"/>
          <w:sz w:val="24"/>
          <w:szCs w:val="24"/>
        </w:rPr>
        <w:t>A redação deve ser clara, objetiva e conclusiva, evitando repetições de informações já apresentadas em outras seções do texto. As Considerações Finais cumprem a função de oferecer ao leitor uma visão integrada e reflexiva do percurso realizado e dos principais aportes do estudo, assegurando um encerramento coerente e consistente do trabalho acadêmico.</w:t>
      </w:r>
    </w:p>
    <w:p w14:paraId="28189AE8" w14:textId="77777777" w:rsidR="00965452" w:rsidRDefault="009654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0C826" w14:textId="77777777" w:rsidR="00E17CCE" w:rsidRDefault="00000000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</w:p>
    <w:p w14:paraId="67FDBD90" w14:textId="77777777" w:rsidR="00F305D3" w:rsidRPr="00F305D3" w:rsidRDefault="00F305D3" w:rsidP="00F30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5D3">
        <w:rPr>
          <w:rFonts w:ascii="Times New Roman" w:eastAsia="Times New Roman" w:hAnsi="Times New Roman" w:cs="Times New Roman"/>
          <w:bCs/>
          <w:sz w:val="24"/>
          <w:szCs w:val="24"/>
        </w:rPr>
        <w:t>A seção REFERÊNCIAS deve ser apresentada com alinhamento à esquerda, utilizando espaçamento simples entre as linhas, sem recuo especial na primeira linha, assegurando padronização visual e legibilidade. As referências devem ser organizadas rigorosamente em ordem alfabética, considerando o sobrenome do primeiro autor como critério principal de ordenação.</w:t>
      </w:r>
    </w:p>
    <w:p w14:paraId="14095E0C" w14:textId="77777777" w:rsidR="00F305D3" w:rsidRPr="00F305D3" w:rsidRDefault="00F305D3" w:rsidP="00F30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5D3">
        <w:rPr>
          <w:rFonts w:ascii="Times New Roman" w:eastAsia="Times New Roman" w:hAnsi="Times New Roman" w:cs="Times New Roman"/>
          <w:bCs/>
          <w:sz w:val="24"/>
          <w:szCs w:val="24"/>
        </w:rPr>
        <w:t>Quando houver mais de uma obra do mesmo autor — independentemente do tipo de documento (livro, capítulo de livro, artigo científico, trabalho em anais, entre outros) —, após a ordenação alfabética, deve-se adotar a ordem cronológica de publicação, iniciando-se pela obra mais antiga e seguindo até a mais recente. Esse procedimento contribui para a coerência histórica da produção intelectual do autor e para a clareza do percurso teórico mobilizado no texto.</w:t>
      </w:r>
    </w:p>
    <w:p w14:paraId="46699CB2" w14:textId="77777777" w:rsidR="00F305D3" w:rsidRPr="00F305D3" w:rsidRDefault="00F305D3" w:rsidP="00F30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EF45C4" w14:textId="57DC308B" w:rsidR="00F305D3" w:rsidRDefault="00F305D3" w:rsidP="00F30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05D3">
        <w:rPr>
          <w:rFonts w:ascii="Times New Roman" w:eastAsia="Times New Roman" w:hAnsi="Times New Roman" w:cs="Times New Roman"/>
          <w:bCs/>
          <w:sz w:val="24"/>
          <w:szCs w:val="24"/>
        </w:rPr>
        <w:t xml:space="preserve">Recomenda-se, sempre que pertinente e em diálogo com o objeto de estudo, a citação de artigos publicados anteriormente na </w:t>
      </w:r>
      <w:r w:rsidRPr="00F305D3">
        <w:rPr>
          <w:rFonts w:ascii="Times New Roman" w:eastAsia="Times New Roman" w:hAnsi="Times New Roman" w:cs="Times New Roman"/>
          <w:b/>
          <w:sz w:val="24"/>
          <w:szCs w:val="24"/>
        </w:rPr>
        <w:t>EPISTIMONIKI: Revista de Educação, Práticas Interdisciplinares e Inovação Científica</w:t>
      </w:r>
      <w:r w:rsidRPr="00F305D3">
        <w:rPr>
          <w:rFonts w:ascii="Times New Roman" w:eastAsia="Times New Roman" w:hAnsi="Times New Roman" w:cs="Times New Roman"/>
          <w:bCs/>
          <w:sz w:val="24"/>
          <w:szCs w:val="24"/>
        </w:rPr>
        <w:t>, como forma de fortalecer o debate acadêmico, valorizar a produção científica do periódico e ampliar a interlocução entre pesquisas convergentes no campo educacional e interdisciplinar.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Seguem alguns exemplos de referências. </w:t>
      </w:r>
    </w:p>
    <w:p w14:paraId="55F3A771" w14:textId="77777777" w:rsidR="00F305D3" w:rsidRPr="00F305D3" w:rsidRDefault="00F305D3" w:rsidP="00F305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eladeLista1Clara-nfas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405"/>
      </w:tblGrid>
      <w:tr w:rsidR="00B22EA5" w:rsidRPr="00B22EA5" w14:paraId="67CF5DCA" w14:textId="77777777" w:rsidTr="00B22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BD73EF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Tipo de Documento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1593AE" w14:textId="77777777" w:rsidR="00B22EA5" w:rsidRPr="00B22EA5" w:rsidRDefault="00B22EA5" w:rsidP="00B22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Exemplo de Referência (ABNT)</w:t>
            </w:r>
          </w:p>
        </w:tc>
      </w:tr>
      <w:tr w:rsidR="00B22EA5" w:rsidRPr="00B22EA5" w14:paraId="665BC236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4DF796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0" w:type="auto"/>
            <w:vAlign w:val="center"/>
            <w:hideMark/>
          </w:tcPr>
          <w:p w14:paraId="5F1FE9DE" w14:textId="77777777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SCOTT, Joan </w:t>
            </w:r>
            <w:proofErr w:type="spellStart"/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Wallach</w:t>
            </w:r>
            <w:proofErr w:type="spellEnd"/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Gênero: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uma categoria útil de análise histórica. Petrópolis: Vozes, 1995.</w:t>
            </w:r>
          </w:p>
        </w:tc>
      </w:tr>
      <w:tr w:rsidR="00B22EA5" w:rsidRPr="00B22EA5" w14:paraId="4AA76198" w14:textId="77777777" w:rsidTr="00B2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368647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0" w:type="auto"/>
            <w:hideMark/>
          </w:tcPr>
          <w:p w14:paraId="6BCA4AE0" w14:textId="77777777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BUTLER, Judith.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Problemas de gênero: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feminismo e subversão da identidade. Rio de Janeiro: Civilização Brasileira, 2018.</w:t>
            </w:r>
          </w:p>
        </w:tc>
      </w:tr>
      <w:tr w:rsidR="00B22EA5" w:rsidRPr="00B22EA5" w14:paraId="277556B8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57E58E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Capítulo de Livro</w:t>
            </w:r>
          </w:p>
        </w:tc>
        <w:tc>
          <w:tcPr>
            <w:tcW w:w="0" w:type="auto"/>
            <w:hideMark/>
          </w:tcPr>
          <w:p w14:paraId="510E2A30" w14:textId="77777777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MEYER, Dagmar Estermann; SOARES, Rosângela de Fátima. Educação, corpos e sexualidades. In: LOURO, Guacira Lopes (org.).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 corpo educado: pedagogias 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da sexualidade. 3. ed. Belo Horizonte: Autêntica, 2016. p. 45-72.</w:t>
            </w:r>
          </w:p>
        </w:tc>
      </w:tr>
      <w:tr w:rsidR="00B22EA5" w:rsidRPr="00B22EA5" w14:paraId="64EBAF89" w14:textId="77777777" w:rsidTr="00B2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8C9E2B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Livro em Suporte Eletrônico</w:t>
            </w:r>
          </w:p>
        </w:tc>
        <w:tc>
          <w:tcPr>
            <w:tcW w:w="0" w:type="auto"/>
            <w:hideMark/>
          </w:tcPr>
          <w:p w14:paraId="3C9CC2D8" w14:textId="77777777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SAVIANI, Dermeval.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Escola e democracia.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Campinas: Autores Associados, 2008. E-book. Disponível em: </w:t>
            </w:r>
            <w:hyperlink r:id="rId9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https://www.autoresassociados.com.br/escolaedemocracia.pdf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12 jan. 2024.</w:t>
            </w:r>
          </w:p>
        </w:tc>
      </w:tr>
      <w:tr w:rsidR="00B22EA5" w:rsidRPr="00B22EA5" w14:paraId="232AD7A5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B9F728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Capítulo de Livro em Suporte Eletrônico</w:t>
            </w:r>
          </w:p>
        </w:tc>
        <w:tc>
          <w:tcPr>
            <w:tcW w:w="0" w:type="auto"/>
            <w:hideMark/>
          </w:tcPr>
          <w:p w14:paraId="394B91F3" w14:textId="77777777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LIBÂNEO, José Carlos; OLIVEIRA, João Ferreira de; TOSCHI, Mirza Seabra. Organização e gestão da escola. In: LIBÂNEO, José Carlos.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Educação escolar: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políticas, estrutura e organização. São Paulo: Cortez, 2017. p. 121-156. Disponível em: </w:t>
            </w:r>
            <w:hyperlink r:id="rId10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https://www.cortezeditora.com.br/educacaoescolar.pdf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18 mar. 2024.</w:t>
            </w:r>
          </w:p>
        </w:tc>
      </w:tr>
      <w:tr w:rsidR="00B22EA5" w:rsidRPr="00B22EA5" w14:paraId="54C2DC3F" w14:textId="77777777" w:rsidTr="00B22E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9F898B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Dissertação</w:t>
            </w:r>
          </w:p>
        </w:tc>
        <w:tc>
          <w:tcPr>
            <w:tcW w:w="0" w:type="auto"/>
            <w:hideMark/>
          </w:tcPr>
          <w:p w14:paraId="2C6C609B" w14:textId="229013A8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COSTA, Mariana de Souza.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Políticas educacionais e desigualdades sociais no Brasil contemporâneo.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 f.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2019. Dissertação (Mestrado em Educação) – Faculdade de Educação, Universidade Federal do Rio Grande do Sul, Porto Alegre, 2019.</w:t>
            </w:r>
          </w:p>
        </w:tc>
      </w:tr>
      <w:tr w:rsidR="00B22EA5" w:rsidRPr="00B22EA5" w14:paraId="33F3BFA9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8830BB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Tese</w:t>
            </w:r>
          </w:p>
        </w:tc>
        <w:tc>
          <w:tcPr>
            <w:tcW w:w="0" w:type="auto"/>
            <w:hideMark/>
          </w:tcPr>
          <w:p w14:paraId="4DC25996" w14:textId="3C485C11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ALMEIDA, Rafael Henrique.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Trabalho docente e precarização nas redes públicas de ensino.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 f. 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 Tese (Doutorado em Educação) – Programa de Pós-Graduação em Educação, Universidade Federal de Minas Gerais, Belo Horizonte, 2021. Disponível em: </w:t>
            </w:r>
            <w:hyperlink r:id="rId11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https://repositorio.ufmg.br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4 abr. 2024.</w:t>
            </w:r>
          </w:p>
        </w:tc>
      </w:tr>
      <w:tr w:rsidR="00B22EA5" w:rsidRPr="00B22EA5" w14:paraId="1A1E4EB0" w14:textId="77777777" w:rsidTr="00B22EA5">
        <w:trPr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0C8D03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Artigo em Periódico Científico</w:t>
            </w:r>
          </w:p>
        </w:tc>
        <w:tc>
          <w:tcPr>
            <w:tcW w:w="0" w:type="auto"/>
            <w:vAlign w:val="center"/>
            <w:hideMark/>
          </w:tcPr>
          <w:p w14:paraId="618A8507" w14:textId="77777777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SANTOS, Boaventura de Sousa; MENESES, Maria Paula. Epistemologias do Sul e produção do conhecimento.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Revista Brasileira de Ciências Sociais,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São Paulo, v. 35, n. 102, p. 1-15, 2020. DOI: 10.1590/35102020. Disponível em: </w:t>
            </w:r>
            <w:hyperlink r:id="rId12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https://www.scielo.br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10 fev. 2024.</w:t>
            </w:r>
          </w:p>
        </w:tc>
      </w:tr>
      <w:tr w:rsidR="00B22EA5" w:rsidRPr="00B22EA5" w14:paraId="33844F93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BD740E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Artigo em Periódico Científico</w:t>
            </w:r>
          </w:p>
        </w:tc>
        <w:tc>
          <w:tcPr>
            <w:tcW w:w="0" w:type="auto"/>
            <w:vAlign w:val="center"/>
            <w:hideMark/>
          </w:tcPr>
          <w:p w14:paraId="5A1A06D0" w14:textId="77777777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FRIGOTTO, Gaudêncio </w:t>
            </w:r>
            <w:r w:rsidRPr="00B22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et al.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Reforma do ensino médio e a lógica do capital.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Educação &amp; Sociedade,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Campinas, v. 39, n. 144, p. 789-807, 2018. DOI: 10.1590/es0101-73302018187234. Disponível em: </w:t>
            </w:r>
            <w:hyperlink r:id="rId13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https://www.scielo.br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5 mar. 2024.</w:t>
            </w:r>
          </w:p>
        </w:tc>
      </w:tr>
      <w:tr w:rsidR="00B22EA5" w:rsidRPr="00B22EA5" w14:paraId="29E580EE" w14:textId="77777777" w:rsidTr="00B22EA5">
        <w:trPr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ED9776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em Revista (Divulgação)</w:t>
            </w:r>
          </w:p>
        </w:tc>
        <w:tc>
          <w:tcPr>
            <w:tcW w:w="0" w:type="auto"/>
            <w:vAlign w:val="center"/>
            <w:hideMark/>
          </w:tcPr>
          <w:p w14:paraId="36D87AA3" w14:textId="77777777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CARVALHO, Lucas. Educação e tecnologia: desafios do ensino contemporâneo.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Carta Capital,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São Paulo, 18 jun. 2021. Disponível em: </w:t>
            </w:r>
            <w:hyperlink r:id="rId14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https://www.cartacapital.com.br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22 jul. 2023.</w:t>
            </w:r>
          </w:p>
        </w:tc>
      </w:tr>
      <w:tr w:rsidR="00B22EA5" w:rsidRPr="00B22EA5" w14:paraId="2FC94796" w14:textId="77777777" w:rsidTr="00B22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8FE966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Publicação em Revista (Divulgação)</w:t>
            </w:r>
          </w:p>
        </w:tc>
        <w:tc>
          <w:tcPr>
            <w:tcW w:w="0" w:type="auto"/>
            <w:vAlign w:val="center"/>
            <w:hideMark/>
          </w:tcPr>
          <w:p w14:paraId="7FF9DE12" w14:textId="77777777" w:rsidR="00B22EA5" w:rsidRPr="00B22EA5" w:rsidRDefault="00B22EA5" w:rsidP="00B22E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MORAES, Ana Paula. O avanço das plataformas digitais na educação.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Revista Piauí,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São Paulo, ed. 182, p. 34-39, ago. 2022.</w:t>
            </w:r>
          </w:p>
        </w:tc>
      </w:tr>
      <w:tr w:rsidR="00B22EA5" w:rsidRPr="00B22EA5" w14:paraId="08537CAA" w14:textId="77777777" w:rsidTr="00F305D3">
        <w:trPr>
          <w:trHeight w:val="1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CC0076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Artigo de Jornal</w:t>
            </w:r>
          </w:p>
        </w:tc>
        <w:tc>
          <w:tcPr>
            <w:tcW w:w="0" w:type="auto"/>
            <w:vAlign w:val="center"/>
            <w:hideMark/>
          </w:tcPr>
          <w:p w14:paraId="483A86D5" w14:textId="77777777" w:rsidR="00B22EA5" w:rsidRPr="00B22EA5" w:rsidRDefault="00B22EA5" w:rsidP="00F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BRITO, Eliane. Cresce a desigualdade educacional no pós-pandemia. </w:t>
            </w:r>
            <w:r w:rsidRPr="00B22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Folha de </w:t>
            </w:r>
            <w:proofErr w:type="spellStart"/>
            <w:proofErr w:type="gramStart"/>
            <w:r w:rsidRPr="00B22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S.Paulo</w:t>
            </w:r>
            <w:proofErr w:type="spellEnd"/>
            <w:proofErr w:type="gramEnd"/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São Paulo, 14 set. 2022. Disponível em: </w:t>
            </w:r>
            <w:hyperlink r:id="rId15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https://www.folha.uol.com.br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20 set. 2022.</w:t>
            </w:r>
          </w:p>
        </w:tc>
      </w:tr>
      <w:tr w:rsidR="00B22EA5" w:rsidRPr="00B22EA5" w14:paraId="6889B53E" w14:textId="77777777" w:rsidTr="00F30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E22CB9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Artigo de Jornal</w:t>
            </w:r>
          </w:p>
        </w:tc>
        <w:tc>
          <w:tcPr>
            <w:tcW w:w="0" w:type="auto"/>
            <w:vAlign w:val="center"/>
            <w:hideMark/>
          </w:tcPr>
          <w:p w14:paraId="50DA7A11" w14:textId="77777777" w:rsidR="00B22EA5" w:rsidRPr="00B22EA5" w:rsidRDefault="00B22EA5" w:rsidP="00F30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SILVEIRA, Matheus. Ensino público enfrenta cortes e desafios estruturais.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Zero Hora,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Porto Alegre, 3 maio 2021, p. 18.</w:t>
            </w:r>
          </w:p>
        </w:tc>
      </w:tr>
      <w:tr w:rsidR="00B22EA5" w:rsidRPr="00B22EA5" w14:paraId="59E55C2D" w14:textId="77777777" w:rsidTr="00B22EA5">
        <w:trPr>
          <w:trHeight w:val="1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FAE7EA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Anais de Evento (Trabalho)</w:t>
            </w:r>
          </w:p>
        </w:tc>
        <w:tc>
          <w:tcPr>
            <w:tcW w:w="0" w:type="auto"/>
            <w:hideMark/>
          </w:tcPr>
          <w:p w14:paraId="059FAE10" w14:textId="77777777" w:rsidR="00B22EA5" w:rsidRPr="00B22EA5" w:rsidRDefault="00B22EA5" w:rsidP="00B22E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BIROLI, Flávia. Gênero, democracia e políticas públicas. In: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CONGRESSO BRASILEIRO DE CIÊNCIA POLÍTICA,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12., 2019, Curitiba. Anais [...]. Curitiba: ABCP, 2019. Disponível em: </w:t>
            </w:r>
            <w:hyperlink r:id="rId16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https://www.abcp.org.br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6 fev. 2024.</w:t>
            </w:r>
          </w:p>
        </w:tc>
      </w:tr>
      <w:tr w:rsidR="00B22EA5" w:rsidRPr="00B22EA5" w14:paraId="46DD7AEC" w14:textId="77777777" w:rsidTr="00F30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0E054F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Anais de Evento (Evento no Todo)</w:t>
            </w:r>
          </w:p>
        </w:tc>
        <w:tc>
          <w:tcPr>
            <w:tcW w:w="0" w:type="auto"/>
            <w:vAlign w:val="center"/>
            <w:hideMark/>
          </w:tcPr>
          <w:p w14:paraId="67EE952B" w14:textId="77777777" w:rsidR="00B22EA5" w:rsidRPr="00B22EA5" w:rsidRDefault="00B22EA5" w:rsidP="00F30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SEMINÁRIO NACIONAL DE EDUCAÇÃO E SOCIEDADE, 8., 2020, Campinas. Anais [...].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Educação &amp; Sociedade,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Campinas, v. 41, n. esp., 2020. Tema: Educação, democracia e direitos sociais.</w:t>
            </w:r>
          </w:p>
        </w:tc>
      </w:tr>
      <w:tr w:rsidR="00B22EA5" w:rsidRPr="00B22EA5" w14:paraId="1F07010B" w14:textId="77777777" w:rsidTr="00F305D3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C18394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Norma Técnica</w:t>
            </w:r>
          </w:p>
        </w:tc>
        <w:tc>
          <w:tcPr>
            <w:tcW w:w="0" w:type="auto"/>
            <w:vAlign w:val="center"/>
            <w:hideMark/>
          </w:tcPr>
          <w:p w14:paraId="4FE1A86B" w14:textId="77777777" w:rsidR="00B22EA5" w:rsidRPr="00B22EA5" w:rsidRDefault="00B22EA5" w:rsidP="00F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ABNT – ASSOCIAÇÃO BRASILEIRA DE NORMAS TÉCNICAS.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ABNT NBR 6023:</w:t>
            </w:r>
            <w:r w:rsidRPr="00B22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informação e documentação: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referências: elaboração. Rio de Janeiro: ABNT, 2018.</w:t>
            </w:r>
          </w:p>
        </w:tc>
      </w:tr>
      <w:tr w:rsidR="00B22EA5" w:rsidRPr="00B22EA5" w14:paraId="2B855D95" w14:textId="77777777" w:rsidTr="00F30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BFB33F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Norma Técnica</w:t>
            </w:r>
          </w:p>
        </w:tc>
        <w:tc>
          <w:tcPr>
            <w:tcW w:w="0" w:type="auto"/>
            <w:vAlign w:val="center"/>
            <w:hideMark/>
          </w:tcPr>
          <w:p w14:paraId="574C7730" w14:textId="77777777" w:rsidR="00B22EA5" w:rsidRPr="00B22EA5" w:rsidRDefault="00B22EA5" w:rsidP="00F30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ABNT – ASSOCIAÇÃO BRASILEIRA DE NORMAS TÉCNICAS.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ABNT NBR 10520:</w:t>
            </w:r>
            <w:r w:rsidRPr="00B22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informação e documentação: citações em documentos: apresentação. Rio de Janeiro: ABNT, 2023.</w:t>
            </w:r>
          </w:p>
        </w:tc>
      </w:tr>
      <w:tr w:rsidR="00B22EA5" w:rsidRPr="00B22EA5" w14:paraId="10E9820D" w14:textId="77777777" w:rsidTr="00F305D3">
        <w:trPr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3DB3F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Legislação</w:t>
            </w:r>
          </w:p>
        </w:tc>
        <w:tc>
          <w:tcPr>
            <w:tcW w:w="0" w:type="auto"/>
            <w:vAlign w:val="center"/>
            <w:hideMark/>
          </w:tcPr>
          <w:p w14:paraId="2FDEC99E" w14:textId="77777777" w:rsidR="00B22EA5" w:rsidRPr="00B22EA5" w:rsidRDefault="00B22EA5" w:rsidP="00F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BRASIL. Lei nº 9.394, de 20 de dezembro de 1996. Estabelece as diretrizes e bases da educação nacional.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Diário Oficial da União,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Brasília, DF, 23 dez. 1996. Disponível em: </w:t>
            </w:r>
            <w:hyperlink r:id="rId17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http://www.planalto.gov.br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15 jan. 2024.</w:t>
            </w:r>
          </w:p>
        </w:tc>
      </w:tr>
      <w:tr w:rsidR="00B22EA5" w:rsidRPr="00B22EA5" w14:paraId="52090537" w14:textId="77777777" w:rsidTr="00F30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2EE36B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Legislação</w:t>
            </w:r>
          </w:p>
        </w:tc>
        <w:tc>
          <w:tcPr>
            <w:tcW w:w="0" w:type="auto"/>
            <w:vAlign w:val="center"/>
            <w:hideMark/>
          </w:tcPr>
          <w:p w14:paraId="46D770A3" w14:textId="77777777" w:rsidR="00B22EA5" w:rsidRPr="00B22EA5" w:rsidRDefault="00B22EA5" w:rsidP="00F30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BRASIL. Lei nº 13.935, de 11 de dezembro de 2019. Dispõe sobre a prestação de serviços de psicologia e de serviço social nas redes públicas de educação básica.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Diário Oficial da União,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Brasília, DF, 12 dez. 2019.</w:t>
            </w:r>
          </w:p>
        </w:tc>
      </w:tr>
      <w:tr w:rsidR="00B22EA5" w:rsidRPr="00B22EA5" w14:paraId="293E3533" w14:textId="77777777" w:rsidTr="00F305D3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19ED51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Constituição</w:t>
            </w:r>
          </w:p>
        </w:tc>
        <w:tc>
          <w:tcPr>
            <w:tcW w:w="0" w:type="auto"/>
            <w:vAlign w:val="center"/>
            <w:hideMark/>
          </w:tcPr>
          <w:p w14:paraId="60B20A33" w14:textId="77777777" w:rsidR="00B22EA5" w:rsidRPr="00B22EA5" w:rsidRDefault="00B22EA5" w:rsidP="00F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BRASIL. [Constituição (1988)].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Constituição da República Federativa do Brasil de 1988. 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Brasília, DF: Presidência da República, 2023. Disponível em: </w:t>
            </w:r>
            <w:hyperlink r:id="rId18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http://www.planalto.gov.br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10 jan. 2024.</w:t>
            </w:r>
          </w:p>
        </w:tc>
      </w:tr>
      <w:tr w:rsidR="00B22EA5" w:rsidRPr="00B22EA5" w14:paraId="580665CE" w14:textId="77777777" w:rsidTr="00F30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8BA3DE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Site Institucional</w:t>
            </w:r>
          </w:p>
        </w:tc>
        <w:tc>
          <w:tcPr>
            <w:tcW w:w="0" w:type="auto"/>
            <w:vAlign w:val="center"/>
            <w:hideMark/>
          </w:tcPr>
          <w:p w14:paraId="521A5A48" w14:textId="77777777" w:rsidR="00B22EA5" w:rsidRPr="00B22EA5" w:rsidRDefault="00B22EA5" w:rsidP="00F305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CAPES – Coordenação de Aperfeiçoamento de Pessoal de Nível Superior.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Plataforma Sucupira.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Brasília, c2024. Disponível em: </w:t>
            </w:r>
            <w:hyperlink r:id="rId19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https://sucupira.capes.gov.br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5 mar. 2024.</w:t>
            </w:r>
          </w:p>
        </w:tc>
      </w:tr>
      <w:tr w:rsidR="00B22EA5" w:rsidRPr="00B22EA5" w14:paraId="0E8F3C5E" w14:textId="77777777" w:rsidTr="00F305D3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7C6E06" w14:textId="77777777" w:rsidR="00B22EA5" w:rsidRPr="00B22EA5" w:rsidRDefault="00B22EA5" w:rsidP="00B22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Site Institucional</w:t>
            </w:r>
          </w:p>
        </w:tc>
        <w:tc>
          <w:tcPr>
            <w:tcW w:w="0" w:type="auto"/>
            <w:vAlign w:val="center"/>
            <w:hideMark/>
          </w:tcPr>
          <w:p w14:paraId="28959C05" w14:textId="77777777" w:rsidR="00B22EA5" w:rsidRPr="00B22EA5" w:rsidRDefault="00B22EA5" w:rsidP="00F30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INEP – Instituto Nacional de Estudos e Pesquisas Educacionais Anísio Teixeira. </w:t>
            </w:r>
            <w:r w:rsidRPr="00B22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Indicadores educacionais.</w:t>
            </w:r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Brasília, c2023. Disponível em: </w:t>
            </w:r>
            <w:hyperlink r:id="rId20" w:history="1">
              <w:r w:rsidRPr="00B22E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https://www.gov.br/inep</w:t>
              </w:r>
            </w:hyperlink>
            <w:r w:rsidRPr="00B22EA5">
              <w:rPr>
                <w:rFonts w:ascii="Times New Roman" w:eastAsia="Times New Roman" w:hAnsi="Times New Roman" w:cs="Times New Roman"/>
                <w:sz w:val="24"/>
                <w:szCs w:val="24"/>
              </w:rPr>
              <w:t>. Acesso em: 18 fev. 2024.</w:t>
            </w:r>
          </w:p>
        </w:tc>
      </w:tr>
    </w:tbl>
    <w:p w14:paraId="178C8E96" w14:textId="77777777" w:rsidR="001A40D7" w:rsidRDefault="001A40D7" w:rsidP="001A40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F1B299" w14:textId="77777777" w:rsidR="00E17CCE" w:rsidRDefault="00E17C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17CCE" w:rsidSect="00561F2E">
      <w:headerReference w:type="default" r:id="rId21"/>
      <w:footerReference w:type="default" r:id="rId22"/>
      <w:pgSz w:w="11906" w:h="16838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EB38" w14:textId="77777777" w:rsidR="00A638DB" w:rsidRDefault="00A638DB">
      <w:pPr>
        <w:spacing w:after="0" w:line="240" w:lineRule="auto"/>
      </w:pPr>
      <w:r>
        <w:separator/>
      </w:r>
    </w:p>
  </w:endnote>
  <w:endnote w:type="continuationSeparator" w:id="0">
    <w:p w14:paraId="74F89F38" w14:textId="77777777" w:rsidR="00A638DB" w:rsidRDefault="00A6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0002" w14:textId="5A1863B1" w:rsidR="00E17CCE" w:rsidRDefault="001A40D7" w:rsidP="00D07299">
    <w:pP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50808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B4C8" w14:textId="77777777" w:rsidR="00A638DB" w:rsidRDefault="00A638DB">
      <w:pPr>
        <w:spacing w:after="0" w:line="240" w:lineRule="auto"/>
      </w:pPr>
      <w:r>
        <w:separator/>
      </w:r>
    </w:p>
  </w:footnote>
  <w:footnote w:type="continuationSeparator" w:id="0">
    <w:p w14:paraId="6DB0A053" w14:textId="77777777" w:rsidR="00A638DB" w:rsidRDefault="00A6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FFEB" w14:textId="707FD9C2" w:rsidR="00E17CCE" w:rsidRDefault="00E17CCE" w:rsidP="000E66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1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F033A"/>
    <w:multiLevelType w:val="multilevel"/>
    <w:tmpl w:val="D5C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93789">
    <w:abstractNumId w:val="12"/>
  </w:num>
  <w:num w:numId="2" w16cid:durableId="1512403843">
    <w:abstractNumId w:val="7"/>
  </w:num>
  <w:num w:numId="3" w16cid:durableId="328094767">
    <w:abstractNumId w:val="6"/>
  </w:num>
  <w:num w:numId="4" w16cid:durableId="43868891">
    <w:abstractNumId w:val="2"/>
  </w:num>
  <w:num w:numId="5" w16cid:durableId="613951165">
    <w:abstractNumId w:val="1"/>
  </w:num>
  <w:num w:numId="6" w16cid:durableId="395979040">
    <w:abstractNumId w:val="9"/>
  </w:num>
  <w:num w:numId="7" w16cid:durableId="1013383652">
    <w:abstractNumId w:val="10"/>
  </w:num>
  <w:num w:numId="8" w16cid:durableId="2131363260">
    <w:abstractNumId w:val="4"/>
  </w:num>
  <w:num w:numId="9" w16cid:durableId="474446844">
    <w:abstractNumId w:val="0"/>
  </w:num>
  <w:num w:numId="10" w16cid:durableId="1750347954">
    <w:abstractNumId w:val="5"/>
  </w:num>
  <w:num w:numId="11" w16cid:durableId="13581056">
    <w:abstractNumId w:val="11"/>
  </w:num>
  <w:num w:numId="12" w16cid:durableId="1807694996">
    <w:abstractNumId w:val="3"/>
  </w:num>
  <w:num w:numId="13" w16cid:durableId="10935492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CE"/>
    <w:rsid w:val="00050808"/>
    <w:rsid w:val="000B22BC"/>
    <w:rsid w:val="000E6621"/>
    <w:rsid w:val="00153E4D"/>
    <w:rsid w:val="001A40D7"/>
    <w:rsid w:val="002358D3"/>
    <w:rsid w:val="00472741"/>
    <w:rsid w:val="004A0A01"/>
    <w:rsid w:val="004B3AD1"/>
    <w:rsid w:val="004C5CB2"/>
    <w:rsid w:val="00561F2E"/>
    <w:rsid w:val="005A6E74"/>
    <w:rsid w:val="005F5B9D"/>
    <w:rsid w:val="00731FB9"/>
    <w:rsid w:val="007D780B"/>
    <w:rsid w:val="007F5AD4"/>
    <w:rsid w:val="009155FC"/>
    <w:rsid w:val="00933C4B"/>
    <w:rsid w:val="00965452"/>
    <w:rsid w:val="00A638DB"/>
    <w:rsid w:val="00B10F34"/>
    <w:rsid w:val="00B22EA5"/>
    <w:rsid w:val="00C66CCD"/>
    <w:rsid w:val="00D07299"/>
    <w:rsid w:val="00DD730E"/>
    <w:rsid w:val="00DF512B"/>
    <w:rsid w:val="00E17CCE"/>
    <w:rsid w:val="00E737D2"/>
    <w:rsid w:val="00E82EDE"/>
    <w:rsid w:val="00F305D3"/>
    <w:rsid w:val="00F8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E63A9"/>
  <w15:docId w15:val="{2F876BDB-5487-4C5C-B82F-28AD5A0A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884C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FA"/>
  </w:style>
  <w:style w:type="paragraph" w:styleId="Rodap">
    <w:name w:val="footer"/>
    <w:basedOn w:val="Normal"/>
    <w:link w:val="RodapChar"/>
    <w:uiPriority w:val="99"/>
    <w:unhideWhenUsed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FA"/>
  </w:style>
  <w:style w:type="paragraph" w:styleId="Textodebalo">
    <w:name w:val="Balloon Text"/>
    <w:basedOn w:val="Normal"/>
    <w:link w:val="TextodebaloChar"/>
    <w:uiPriority w:val="99"/>
    <w:semiHidden/>
    <w:unhideWhenUsed/>
    <w:rsid w:val="00AD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DD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D1DDE"/>
    <w:rPr>
      <w:b/>
      <w:bCs/>
    </w:rPr>
  </w:style>
  <w:style w:type="character" w:customStyle="1" w:styleId="Caracteresdenotaderodap">
    <w:name w:val="Caracteres de nota de rodapé"/>
    <w:rsid w:val="005176BD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554FD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">
    <w:name w:val="show"/>
    <w:basedOn w:val="Normal"/>
    <w:rsid w:val="001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40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B2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1Clara-nfase3">
    <w:name w:val="List Table 1 Light Accent 3"/>
    <w:basedOn w:val="Tabelanormal"/>
    <w:uiPriority w:val="46"/>
    <w:rsid w:val="00B22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lo.br/" TargetMode="External"/><Relationship Id="rId18" Type="http://schemas.openxmlformats.org/officeDocument/2006/relationships/hyperlink" Target="http://www.planalto.gov.br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cielo.br/" TargetMode="External"/><Relationship Id="rId17" Type="http://schemas.openxmlformats.org/officeDocument/2006/relationships/hyperlink" Target="http://www.planalto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bcp.org.br/" TargetMode="External"/><Relationship Id="rId20" Type="http://schemas.openxmlformats.org/officeDocument/2006/relationships/hyperlink" Target="https://www.gov.br/ine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ositorio.ufmg.br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olha.uol.com.b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rtezeditora.com.br/educacaoescolar.pdf" TargetMode="External"/><Relationship Id="rId19" Type="http://schemas.openxmlformats.org/officeDocument/2006/relationships/hyperlink" Target="https://sucupira.cape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oresassociados.com.br/escolaedemocracia.pdf" TargetMode="External"/><Relationship Id="rId14" Type="http://schemas.openxmlformats.org/officeDocument/2006/relationships/hyperlink" Target="https://www.cartacapital.com.b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uVSB4G2PVXdwXkly/heT7nFjA==">CgMxLjA4AHIhMVFxalFvU1U3eDRwWlVHV1oxNGk3NHRGdzd2bzc5ZTRQ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2690</Words>
  <Characters>14527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19</cp:revision>
  <dcterms:created xsi:type="dcterms:W3CDTF">2023-09-12T23:57:00Z</dcterms:created>
  <dcterms:modified xsi:type="dcterms:W3CDTF">2026-01-19T05:21:00Z</dcterms:modified>
</cp:coreProperties>
</file>